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Annual Monthly Checklist for the Clerk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Note: This is a sample for you to adapt to your particular congregation.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Every month </w:t>
        <w:tab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significant correspondence, baptisms performed, and communions celebrated since the previous meeting.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minutes of previous meeting.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planned baptisms.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weddings performed by clergy or in church buildings by other clergy.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the membership book up to date with new members, transfers, baptisms, deaths, and weddings.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Distribute minutes and other materials pertinent to the meeting to the session.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January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Begin working on the statistical report for the General Assembly so the session can approve it before it is submitted. 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over the Presbytery Directory and send updates to the Presbytery. 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 commissioners to the presbytery.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a congregational meeting to elect deacons, ruling elders, and members-at-large for the nominations committee.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 as secretary for the annual meeting of the congregation.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examination of elected elders and deacons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ordination and installation of elected elders and deacons 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February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the statistical report to the General Assembly.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Annual Report / List of Session Members' names and contact information to Presbytery. 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minutes for the Presbytery annual review. /Fill out the Checklist for Session Minutes.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lin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</w:t>
        <w:tab/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Begin the Annual Financial review process.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May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Annual Manse Review report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June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July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August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Talk about a Deacon and Elder joint meeting</w:t>
      </w:r>
      <w:r w:rsidDel="00000000" w:rsidR="00000000" w:rsidRPr="00000000">
        <w:rPr>
          <w:i w:val="1"/>
          <w:sz w:val="20"/>
          <w:szCs w:val="20"/>
          <w:rtl w:val="0"/>
        </w:rPr>
        <w:t xml:space="preserve"> (while not mandated by the Book of Order, a joint meeting of ruling elders (session) and deacons is strongly recommended for the effective governance and function of the church)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September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pastor compensation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Necrology report to Presbytery 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October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the church’s employer agreement with the Board of Pensions is updated and completed.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November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budget 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the pastors and staff have completed enrollment in the Board of Pensions. 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Prepare a Housekeeping consent Agenda for items for the next year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list of times to celebrate the Sacrament of the Lord’s Supper. </w:t>
      </w:r>
    </w:p>
    <w:p w:rsidR="00000000" w:rsidDel="00000000" w:rsidP="00000000" w:rsidRDefault="00000000" w:rsidRPr="00000000" w14:paraId="0000003D">
      <w:pPr>
        <w:numPr>
          <w:ilvl w:val="1"/>
          <w:numId w:val="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 Cleck and Treasurer for a term 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Session Meeting Dates </w:t>
      </w:r>
    </w:p>
    <w:p w:rsidR="00000000" w:rsidDel="00000000" w:rsidP="00000000" w:rsidRDefault="00000000" w:rsidRPr="00000000" w14:paraId="0000003F">
      <w:pPr>
        <w:numPr>
          <w:ilvl w:val="1"/>
          <w:numId w:val="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services (non-Sunday services)  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offerings authorized 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Voice Privilege for Clerk at ALL session meetings (if not an active member of session)</w:t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